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차   용   증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금전소비대차계약서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>아래 당사자는 금전 대여에 관하여 다음과 같이 약정하고, 이를 증명하기 위하여 본 차용증 2통을 작성하여 각각 1통씩 보관한다.</w:t>
      </w: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채권자 (빌려준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       명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       소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메 일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채무자 (빌린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       명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       소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메 일</w:t>
            </w:r>
          </w:p>
        </w:tc>
        <w:tc>
          <w:tcPr>
            <w:tcW w:type="dxa" w:w="306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4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약정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제1조 (차용금액)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금                       원정  (₩                 )</w:t>
            </w:r>
          </w:p>
          <w:p>
            <w:pPr>
              <w:spacing w:after="20" w:line="312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7"/>
              </w:rPr>
              <w:t>※ 한글과 아라비아 숫자를 모두 기재한다.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제2조 (대여일·교부방법)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 월       일   □ 계좌이체  □ 현금  □ 기타</w:t>
            </w:r>
          </w:p>
          <w:p>
            <w:pPr>
              <w:spacing w:after="20" w:line="312" w:lineRule="auto"/>
            </w:pPr>
            <w:r>
              <w:rPr>
                <w:rFonts w:ascii="맑은 고딕" w:hAnsi="맑은 고딕" w:eastAsia="맑은 고딕"/>
                <w:b w:val="0"/>
                <w:sz w:val="20"/>
              </w:rPr>
              <w:t>입금 계좌 :                은행                              예금주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제3조 (변제기일)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 월       일까지 전액 변제한다.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제4조 (이자)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             %  ·  매월        일에 지급한다.  □ 무이자</w:t>
            </w:r>
          </w:p>
          <w:p>
            <w:pPr>
              <w:spacing w:after="20" w:line="312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7"/>
              </w:rPr>
              <w:t>※ 이자제한법상 최고이자율은 연 20%이며, 이를 초과하는 부분은 무효이다.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제5조 (지연손해금)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변제기일을 넘긴 경우 연             %의 지연손해금을 가산하여 지급한다. (연 20% 이내)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제6조 (변제방법)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채권자가 지정한 아래 계좌로 이체한다.</w:t>
            </w:r>
          </w:p>
          <w:p>
            <w:pPr>
              <w:spacing w:after="20" w:line="312" w:lineRule="auto"/>
            </w:pPr>
            <w:r>
              <w:rPr>
                <w:rFonts w:ascii="맑은 고딕" w:hAnsi="맑은 고딕" w:eastAsia="맑은 고딕"/>
                <w:b w:val="0"/>
                <w:sz w:val="20"/>
              </w:rPr>
              <w:t xml:space="preserve">                은행                              예금주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제7조 (기한이익의 상실)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채무자가 이자를 2회 이상 연체하거나 압류·가압류·회생·파산 신청을 받은 때에는 채권자의 통지로 기한의 이익을 잃고 즉시 잔액 전부를 변제한다.</w:t>
            </w:r>
          </w:p>
        </w:tc>
      </w:tr>
      <w:tr>
        <w:tc>
          <w:tcPr>
            <w:tcW w:type="dxa" w:w="2154"/>
            <w:shd w:val="clear" w:fill="F5F6F8"/>
          </w:tcPr>
          <w:p>
            <w:pPr>
              <w:spacing w:after="40" w:before="40"/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제8조 (특약사항)</w:t>
            </w:r>
          </w:p>
        </w:tc>
        <w:tc>
          <w:tcPr>
            <w:tcW w:type="dxa" w:w="6917"/>
          </w:tcPr>
          <w:p>
            <w:pPr>
              <w:spacing w:after="20" w:line="312" w:lineRule="auto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00" w:before="0" w:line="300" w:lineRule="auto"/>
      </w:pP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(빌려준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(빌린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작성 전 확인하세요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차용금액은 한글과 숫자를 함께 적고, 숫자 앞뒤에 다른 글자를 넣을 수 없도록 붙여 씁니다.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이자제한법상 최고이자율은 연 20%입니다. 초과 약정은 그 부분이 무효입니다.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실제 계좌이체 내역을 함께 보관하면 증빙력이 크게 올라갑니다.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2통을 작성해 양쪽이 각각 1통씩 보관하고, 간인(계인)을 찍어 두면 좋습니다.</w:t>
            </w:r>
          </w:p>
        </w:tc>
      </w:tr>
    </w:tbl>
    <w:sectPr w:rsidR="00FC693F" w:rsidRPr="0006063C" w:rsidSect="00034616"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