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금 전 소 비 대 차 계 약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공증 · 내용증명 제출용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>채권자와 채무자는 금전소비대차에 관하여 다음과 같이 계약을 체결하고, 그 성립을 증명하기 위하여 본 계약서 2통을 작성한다.</w:t>
      </w: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채권자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       명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       소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메 일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채무자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       명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       소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메 일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연대보증인 (해당 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       명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       소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메 일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4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계약 조항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제1조 (대여금)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채권자는 채무자에게 금                   원정(₩              )을 대여하고 채무자는 이를 차용하였음을 확인한다.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제2조 (대여일)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  ·  교부방법 □ 계좌이체 □ 현금 □ 기타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제3조 (변제기)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일까지 원금 전액을 변제한다.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제4조 (이자)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연            %로 하고 매월        일에 지급한다.  □ 무이자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제5조 (지연손해금)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변제기 경과 시 연            %의 지연손해금을 지급한다.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제6조 (기한이익 상실)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채무자가 ① 이자를 2회 이상 연체한 때 ② 압류·가압류·경매 신청을 받은 때 ③ 회생·파산을 신청한 때에는 최고 없이 기한의 이익을 상실하고 즉시 전액을 변제한다.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제7조 (강제집행 인낙)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채무자는 본 계약상 금전채무를 이행하지 아니할 때에는 즉시 강제집행을 당하여도 이의가 없음을 인낙한다.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제8조 (관할법원)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본 계약에 관한 분쟁의 관할법원은                            지방법원으로 한다.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제9조 (특약사항)</w:t>
            </w:r>
          </w:p>
        </w:tc>
        <w:tc>
          <w:tcPr>
            <w:tcW w:type="dxa" w:w="737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(빌려준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(빌린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연대보증인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해당 시</w:t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EAF0FF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공증사무소 제출 시 준비물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당사자 신분증 (대리인이 갈 경우 위임장 + 인감증명서 + 대리인 신분증)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본 계약서 2통 이상 · 도장(인감 또는 서명)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제7조 강제집행 인낙 문구가 있어야 공정증서로 바로 강제집행이 가능합니다.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공증 수수료는 채권금액에 따라 달라지므로 방문 전 확인하세요.</w:t>
            </w:r>
          </w:p>
        </w:tc>
      </w:tr>
    </w:tbl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